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6E2" w:rsidRDefault="005D6B9A" w:rsidP="000256E2">
      <w:pPr>
        <w:jc w:val="center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0;margin-top:-.55pt;width:518.2pt;height:61.1pt;z-index:251662336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F46523" w:rsidRPr="00F46523" w:rsidRDefault="00F46523" w:rsidP="00F46523">
                  <w:pPr>
                    <w:jc w:val="center"/>
                    <w:rPr>
                      <w:rFonts w:asciiTheme="majorHAnsi" w:hAnsiTheme="majorHAnsi"/>
                      <w:b/>
                      <w:color w:val="C00000"/>
                      <w:sz w:val="84"/>
                      <w:szCs w:val="84"/>
                    </w:rPr>
                  </w:pPr>
                  <w:r w:rsidRPr="00F46523">
                    <w:rPr>
                      <w:rFonts w:asciiTheme="majorHAnsi" w:hAnsiTheme="majorHAnsi"/>
                      <w:b/>
                      <w:color w:val="C00000"/>
                      <w:sz w:val="84"/>
                      <w:szCs w:val="84"/>
                    </w:rPr>
                    <w:t>Педагогические кадры</w:t>
                  </w:r>
                </w:p>
              </w:txbxContent>
            </v:textbox>
          </v:shape>
        </w:pict>
      </w:r>
    </w:p>
    <w:p w:rsidR="00F46523" w:rsidRDefault="00F46523" w:rsidP="000256E2">
      <w:pPr>
        <w:jc w:val="center"/>
      </w:pPr>
    </w:p>
    <w:p w:rsidR="00F46523" w:rsidRDefault="00F46523" w:rsidP="000256E2">
      <w:pPr>
        <w:jc w:val="center"/>
      </w:pPr>
    </w:p>
    <w:p w:rsidR="00350A85" w:rsidRPr="00350A85" w:rsidRDefault="00332181" w:rsidP="00350A85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3062605</wp:posOffset>
            </wp:positionH>
            <wp:positionV relativeFrom="paragraph">
              <wp:posOffset>141605</wp:posOffset>
            </wp:positionV>
            <wp:extent cx="3406775" cy="1835150"/>
            <wp:effectExtent l="57150" t="0" r="41275" b="31750"/>
            <wp:wrapSquare wrapText="bothSides"/>
            <wp:docPr id="1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 w:rsidR="00350A85" w:rsidRPr="00350A85" w:rsidRDefault="005D6B9A" w:rsidP="00350A85">
      <w:r>
        <w:rPr>
          <w:noProof/>
          <w:lang w:eastAsia="ru-RU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30" type="#_x0000_t15" style="position:absolute;margin-left:0;margin-top:3.95pt;width:231.25pt;height:103.3pt;z-index:251660288" fillcolor="white [3201]" strokecolor="#030" strokeweight="1.5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332181" w:rsidRPr="008B4A26" w:rsidRDefault="00CA3245" w:rsidP="008B4A26">
                  <w:pPr>
                    <w:spacing w:after="0" w:line="240" w:lineRule="auto"/>
                    <w:rPr>
                      <w:rFonts w:asciiTheme="majorHAnsi" w:hAnsiTheme="majorHAnsi"/>
                      <w:b/>
                      <w:color w:val="C00000"/>
                      <w:sz w:val="32"/>
                      <w:szCs w:val="32"/>
                    </w:rPr>
                  </w:pPr>
                  <w:r w:rsidRPr="008B4A26">
                    <w:rPr>
                      <w:rFonts w:asciiTheme="majorHAnsi" w:hAnsiTheme="majorHAnsi"/>
                      <w:b/>
                      <w:color w:val="C00000"/>
                      <w:sz w:val="32"/>
                      <w:szCs w:val="32"/>
                    </w:rPr>
                    <w:t xml:space="preserve">Доля педагогов </w:t>
                  </w:r>
                </w:p>
                <w:p w:rsidR="00CA3245" w:rsidRPr="008B4A26" w:rsidRDefault="00CA3245" w:rsidP="008B4A26">
                  <w:pPr>
                    <w:spacing w:after="0" w:line="240" w:lineRule="auto"/>
                    <w:rPr>
                      <w:rFonts w:asciiTheme="majorHAnsi" w:hAnsiTheme="majorHAnsi"/>
                      <w:b/>
                      <w:color w:val="C00000"/>
                      <w:sz w:val="32"/>
                      <w:szCs w:val="32"/>
                    </w:rPr>
                  </w:pPr>
                  <w:r w:rsidRPr="008B4A26">
                    <w:rPr>
                      <w:rFonts w:asciiTheme="majorHAnsi" w:hAnsiTheme="majorHAnsi"/>
                      <w:b/>
                      <w:color w:val="C00000"/>
                      <w:sz w:val="32"/>
                      <w:szCs w:val="32"/>
                    </w:rPr>
                    <w:t>1 и высшей кв. категории в районе: школы, ДОУ, УДО, техникум</w:t>
                  </w:r>
                </w:p>
              </w:txbxContent>
            </v:textbox>
          </v:shape>
        </w:pict>
      </w:r>
    </w:p>
    <w:p w:rsidR="005C6F78" w:rsidRDefault="005C6F78" w:rsidP="00350A85"/>
    <w:p w:rsidR="00CA3245" w:rsidRDefault="00CA3245" w:rsidP="00350A85"/>
    <w:p w:rsidR="00CA3245" w:rsidRDefault="00CA3245" w:rsidP="00350A85"/>
    <w:p w:rsidR="00CA3245" w:rsidRDefault="00CA3245" w:rsidP="00350A85"/>
    <w:p w:rsidR="00332181" w:rsidRDefault="005D6B9A" w:rsidP="00350A85">
      <w:r>
        <w:rPr>
          <w:noProof/>
          <w:lang w:eastAsia="ru-RU"/>
        </w:rPr>
        <w:pict>
          <v:shape id="_x0000_s1033" type="#_x0000_t202" style="position:absolute;margin-left:0;margin-top:22.6pt;width:518.2pt;height:78.55pt;z-index:251661312" fillcolor="white [3201]" strokecolor="#030" strokeweight="1.5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1A552C" w:rsidRPr="00F76308" w:rsidRDefault="001A552C" w:rsidP="001A552C">
                  <w:pPr>
                    <w:rPr>
                      <w:rFonts w:asciiTheme="majorHAnsi" w:hAnsiTheme="majorHAnsi"/>
                      <w:b/>
                      <w:sz w:val="40"/>
                      <w:szCs w:val="40"/>
                    </w:rPr>
                  </w:pPr>
                  <w:r w:rsidRPr="00F76308">
                    <w:rPr>
                      <w:rFonts w:asciiTheme="majorHAnsi" w:hAnsiTheme="majorHAnsi"/>
                      <w:b/>
                      <w:color w:val="C00000"/>
                      <w:sz w:val="40"/>
                      <w:szCs w:val="40"/>
                    </w:rPr>
                    <w:t>1 кв. категория</w:t>
                  </w:r>
                  <w:r w:rsidRPr="00F76308">
                    <w:rPr>
                      <w:rFonts w:asciiTheme="majorHAnsi" w:hAnsiTheme="majorHAnsi"/>
                      <w:sz w:val="40"/>
                      <w:szCs w:val="40"/>
                    </w:rPr>
                    <w:t xml:space="preserve">             </w:t>
                  </w:r>
                  <w:r w:rsidR="00F76308">
                    <w:rPr>
                      <w:rFonts w:asciiTheme="majorHAnsi" w:hAnsiTheme="majorHAnsi"/>
                      <w:sz w:val="40"/>
                      <w:szCs w:val="40"/>
                    </w:rPr>
                    <w:t xml:space="preserve">         </w:t>
                  </w:r>
                  <w:r w:rsidR="000E71DF">
                    <w:rPr>
                      <w:rFonts w:asciiTheme="majorHAnsi" w:hAnsiTheme="majorHAnsi"/>
                      <w:b/>
                      <w:color w:val="002060"/>
                      <w:sz w:val="40"/>
                      <w:szCs w:val="40"/>
                    </w:rPr>
                    <w:t>Район – 56,02</w:t>
                  </w:r>
                  <w:r w:rsidRPr="00433E4F">
                    <w:rPr>
                      <w:rFonts w:asciiTheme="majorHAnsi" w:hAnsiTheme="majorHAnsi"/>
                      <w:b/>
                      <w:color w:val="002060"/>
                      <w:sz w:val="40"/>
                      <w:szCs w:val="40"/>
                    </w:rPr>
                    <w:t xml:space="preserve">    РТ – </w:t>
                  </w:r>
                  <w:r w:rsidR="000E71DF">
                    <w:rPr>
                      <w:rFonts w:asciiTheme="majorHAnsi" w:hAnsiTheme="majorHAnsi"/>
                      <w:b/>
                      <w:color w:val="002060"/>
                      <w:sz w:val="40"/>
                      <w:szCs w:val="40"/>
                    </w:rPr>
                    <w:t>50,72</w:t>
                  </w:r>
                </w:p>
                <w:p w:rsidR="001A552C" w:rsidRPr="00F76308" w:rsidRDefault="001A552C" w:rsidP="001A552C">
                  <w:pPr>
                    <w:rPr>
                      <w:rFonts w:asciiTheme="majorHAnsi" w:hAnsiTheme="majorHAnsi"/>
                      <w:sz w:val="40"/>
                      <w:szCs w:val="40"/>
                    </w:rPr>
                  </w:pPr>
                  <w:r w:rsidRPr="00F76308">
                    <w:rPr>
                      <w:rFonts w:asciiTheme="majorHAnsi" w:hAnsiTheme="majorHAnsi"/>
                      <w:b/>
                      <w:color w:val="C00000"/>
                      <w:sz w:val="40"/>
                      <w:szCs w:val="40"/>
                    </w:rPr>
                    <w:t>Высшая кв. категория</w:t>
                  </w:r>
                  <w:r w:rsidRPr="00F76308">
                    <w:rPr>
                      <w:rFonts w:asciiTheme="majorHAnsi" w:hAnsiTheme="majorHAnsi"/>
                      <w:sz w:val="40"/>
                      <w:szCs w:val="40"/>
                    </w:rPr>
                    <w:t xml:space="preserve"> </w:t>
                  </w:r>
                  <w:r w:rsidR="00F76308">
                    <w:rPr>
                      <w:rFonts w:asciiTheme="majorHAnsi" w:hAnsiTheme="majorHAnsi"/>
                      <w:sz w:val="40"/>
                      <w:szCs w:val="40"/>
                    </w:rPr>
                    <w:t xml:space="preserve">      </w:t>
                  </w:r>
                  <w:r w:rsidR="00F76308" w:rsidRPr="00F46523">
                    <w:rPr>
                      <w:rFonts w:asciiTheme="majorHAnsi" w:hAnsiTheme="majorHAnsi"/>
                      <w:b/>
                      <w:color w:val="0000CC"/>
                      <w:sz w:val="40"/>
                      <w:szCs w:val="40"/>
                    </w:rPr>
                    <w:t xml:space="preserve">Район </w:t>
                  </w:r>
                  <w:r w:rsidR="000E71DF">
                    <w:rPr>
                      <w:rFonts w:asciiTheme="majorHAnsi" w:hAnsiTheme="majorHAnsi"/>
                      <w:b/>
                      <w:color w:val="0000CC"/>
                      <w:sz w:val="40"/>
                      <w:szCs w:val="40"/>
                    </w:rPr>
                    <w:t>–</w:t>
                  </w:r>
                  <w:r w:rsidR="00F76308" w:rsidRPr="00F46523">
                    <w:rPr>
                      <w:rFonts w:asciiTheme="majorHAnsi" w:hAnsiTheme="majorHAnsi"/>
                      <w:b/>
                      <w:color w:val="0000CC"/>
                      <w:sz w:val="40"/>
                      <w:szCs w:val="40"/>
                    </w:rPr>
                    <w:t xml:space="preserve"> </w:t>
                  </w:r>
                  <w:r w:rsidR="000E71DF">
                    <w:rPr>
                      <w:rFonts w:asciiTheme="majorHAnsi" w:hAnsiTheme="majorHAnsi"/>
                      <w:b/>
                      <w:color w:val="0000CC"/>
                      <w:sz w:val="40"/>
                      <w:szCs w:val="40"/>
                    </w:rPr>
                    <w:t>16,17</w:t>
                  </w:r>
                  <w:r w:rsidRPr="00F46523">
                    <w:rPr>
                      <w:rFonts w:asciiTheme="majorHAnsi" w:hAnsiTheme="majorHAnsi"/>
                      <w:b/>
                      <w:color w:val="0000CC"/>
                      <w:sz w:val="40"/>
                      <w:szCs w:val="40"/>
                    </w:rPr>
                    <w:t xml:space="preserve">  РТ – </w:t>
                  </w:r>
                  <w:r w:rsidR="00F76308" w:rsidRPr="00F46523">
                    <w:rPr>
                      <w:rFonts w:asciiTheme="majorHAnsi" w:hAnsiTheme="majorHAnsi"/>
                      <w:b/>
                      <w:color w:val="0000CC"/>
                      <w:sz w:val="40"/>
                      <w:szCs w:val="40"/>
                    </w:rPr>
                    <w:t>1</w:t>
                  </w:r>
                  <w:r w:rsidR="000E71DF">
                    <w:rPr>
                      <w:rFonts w:asciiTheme="majorHAnsi" w:hAnsiTheme="majorHAnsi"/>
                      <w:b/>
                      <w:color w:val="0000CC"/>
                      <w:sz w:val="40"/>
                      <w:szCs w:val="40"/>
                    </w:rPr>
                    <w:t>8,82</w:t>
                  </w:r>
                </w:p>
                <w:p w:rsidR="001A552C" w:rsidRDefault="001A552C" w:rsidP="001A552C"/>
              </w:txbxContent>
            </v:textbox>
          </v:shape>
        </w:pict>
      </w:r>
    </w:p>
    <w:p w:rsidR="001A552C" w:rsidRDefault="001A552C" w:rsidP="00350A85">
      <w:bookmarkStart w:id="0" w:name="_GoBack"/>
      <w:bookmarkEnd w:id="0"/>
    </w:p>
    <w:p w:rsidR="001A552C" w:rsidRDefault="001A552C" w:rsidP="00350A85"/>
    <w:p w:rsidR="001A552C" w:rsidRDefault="001A552C" w:rsidP="00350A85"/>
    <w:p w:rsidR="001A552C" w:rsidRDefault="001A552C" w:rsidP="00350A85"/>
    <w:p w:rsidR="001A552C" w:rsidRPr="00F76308" w:rsidRDefault="00F76308" w:rsidP="00350A85">
      <w:pPr>
        <w:rPr>
          <w:sz w:val="16"/>
          <w:szCs w:val="16"/>
        </w:rPr>
      </w:pPr>
      <w:r w:rsidRPr="00332181">
        <w:rPr>
          <w:noProof/>
          <w:lang w:eastAsia="ru-RU"/>
        </w:rPr>
        <w:drawing>
          <wp:inline distT="0" distB="0" distL="0" distR="0">
            <wp:extent cx="6415752" cy="2341418"/>
            <wp:effectExtent l="57150" t="0" r="42198" b="39832"/>
            <wp:docPr id="26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A3245" w:rsidRDefault="00F76308" w:rsidP="00350A85">
      <w:r w:rsidRPr="006342E9">
        <w:rPr>
          <w:noProof/>
          <w:lang w:eastAsia="ru-RU"/>
        </w:rPr>
        <w:drawing>
          <wp:inline distT="0" distB="0" distL="0" distR="0">
            <wp:extent cx="6454602" cy="2576945"/>
            <wp:effectExtent l="19050" t="0" r="22398" b="0"/>
            <wp:docPr id="24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CA3245" w:rsidSect="00F76308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56E2"/>
    <w:rsid w:val="000256E2"/>
    <w:rsid w:val="00031B3C"/>
    <w:rsid w:val="000E71DF"/>
    <w:rsid w:val="001A552C"/>
    <w:rsid w:val="002C1429"/>
    <w:rsid w:val="002C177A"/>
    <w:rsid w:val="00310C7C"/>
    <w:rsid w:val="00323687"/>
    <w:rsid w:val="00332181"/>
    <w:rsid w:val="00350A85"/>
    <w:rsid w:val="00433E4F"/>
    <w:rsid w:val="004725D6"/>
    <w:rsid w:val="0047745A"/>
    <w:rsid w:val="00561A51"/>
    <w:rsid w:val="005C6F78"/>
    <w:rsid w:val="005D2362"/>
    <w:rsid w:val="005D23F0"/>
    <w:rsid w:val="005D6B9A"/>
    <w:rsid w:val="006342E9"/>
    <w:rsid w:val="00674FD7"/>
    <w:rsid w:val="007B1DA3"/>
    <w:rsid w:val="007D0221"/>
    <w:rsid w:val="008B4A26"/>
    <w:rsid w:val="008D61D6"/>
    <w:rsid w:val="009A5F96"/>
    <w:rsid w:val="00A45004"/>
    <w:rsid w:val="00AB0682"/>
    <w:rsid w:val="00B109BF"/>
    <w:rsid w:val="00BD4057"/>
    <w:rsid w:val="00CA3245"/>
    <w:rsid w:val="00F46523"/>
    <w:rsid w:val="00F76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3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6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3">
                <a:lumMod val="50000"/>
              </a:schemeClr>
            </a:solidFill>
            <a:ln w="12700">
              <a:solidFill>
                <a:srgbClr val="C00000"/>
              </a:solidFill>
            </a:ln>
          </c:spPr>
          <c:dLbls>
            <c:dLbl>
              <c:idx val="0"/>
              <c:layout>
                <c:manualLayout>
                  <c:x val="-1.5479538064257673E-2"/>
                  <c:y val="-2.0274176130982116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B10-4CC9-A568-3D87DCE8687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общая категорийность 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B10-4CC9-A568-3D87DCE8687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ln w="12700">
              <a:solidFill>
                <a:srgbClr val="C00000"/>
              </a:solidFill>
            </a:ln>
          </c:spPr>
          <c:dLbls>
            <c:dLbl>
              <c:idx val="0"/>
              <c:layout>
                <c:manualLayout>
                  <c:x val="-3.1026993484331443E-3"/>
                  <c:y val="-2.035584352330845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B10-4CC9-A568-3D87DCE8687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общая категорийность 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B10-4CC9-A568-3D87DCE8687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</c:v>
                </c:pt>
              </c:strCache>
            </c:strRef>
          </c:tx>
          <c:spPr>
            <a:ln w="19050">
              <a:solidFill>
                <a:srgbClr val="C00000"/>
              </a:solidFill>
            </a:ln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общая категорийность 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EB10-4CC9-A568-3D87DCE86872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РТ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B10-4CC9-A568-3D87DCE86872}"/>
              </c:ext>
            </c:extLst>
          </c:dPt>
          <c:dLbls>
            <c:dLbl>
              <c:idx val="0"/>
              <c:layout>
                <c:manualLayout>
                  <c:x val="2.6095060577819268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B10-4CC9-A568-3D87DCE8687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общая категорийность 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69.5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EB10-4CC9-A568-3D87DCE86872}"/>
            </c:ext>
          </c:extLst>
        </c:ser>
        <c:axId val="134599040"/>
        <c:axId val="134600576"/>
      </c:barChart>
      <c:catAx>
        <c:axId val="134599040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4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4600576"/>
        <c:crosses val="autoZero"/>
        <c:auto val="1"/>
        <c:lblAlgn val="ctr"/>
        <c:lblOffset val="100"/>
      </c:catAx>
      <c:valAx>
        <c:axId val="134600576"/>
        <c:scaling>
          <c:orientation val="minMax"/>
        </c:scaling>
        <c:axPos val="l"/>
        <c:majorGridlines/>
        <c:numFmt formatCode="General" sourceLinked="1"/>
        <c:tickLblPos val="nextTo"/>
        <c:crossAx val="134599040"/>
        <c:crosses val="autoZero"/>
        <c:crossBetween val="between"/>
      </c:valAx>
      <c:spPr>
        <a:solidFill>
          <a:schemeClr val="accent3">
            <a:lumMod val="20000"/>
            <a:lumOff val="80000"/>
          </a:schemeClr>
        </a:solidFill>
      </c:spPr>
    </c:plotArea>
    <c:legend>
      <c:legendPos val="r"/>
      <c:layout>
        <c:manualLayout>
          <c:xMode val="edge"/>
          <c:yMode val="edge"/>
          <c:x val="0.76138108837580165"/>
          <c:y val="0.42493492786515963"/>
          <c:w val="0.17709241144484175"/>
          <c:h val="0.51319238209410678"/>
        </c:manualLayout>
      </c:layout>
      <c:txPr>
        <a:bodyPr/>
        <a:lstStyle/>
        <a:p>
          <a:pPr>
            <a:defRPr sz="1200" b="1"/>
          </a:pPr>
          <a:endParaRPr lang="ru-RU"/>
        </a:p>
      </c:txPr>
    </c:legend>
    <c:plotVisOnly val="1"/>
    <c:dispBlanksAs val="gap"/>
  </c:chart>
  <c:spPr>
    <a:gradFill rotWithShape="1">
      <a:gsLst>
        <a:gs pos="0">
          <a:schemeClr val="accent3">
            <a:tint val="50000"/>
            <a:satMod val="300000"/>
          </a:schemeClr>
        </a:gs>
        <a:gs pos="35000">
          <a:schemeClr val="accent3">
            <a:tint val="37000"/>
            <a:satMod val="300000"/>
          </a:schemeClr>
        </a:gs>
        <a:gs pos="100000">
          <a:schemeClr val="accent3">
            <a:tint val="15000"/>
            <a:satMod val="350000"/>
          </a:schemeClr>
        </a:gs>
      </a:gsLst>
      <a:lin ang="16200000" scaled="1"/>
    </a:gradFill>
    <a:ln w="19050" cap="flat" cmpd="sng" algn="ctr">
      <a:solidFill>
        <a:srgbClr val="003300"/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solidFill>
                  <a:srgbClr val="0000CC"/>
                </a:solidFill>
              </a:defRPr>
            </a:pPr>
            <a:r>
              <a:rPr lang="ru-RU">
                <a:solidFill>
                  <a:srgbClr val="0000CC"/>
                </a:solidFill>
              </a:rPr>
              <a:t>% категорийности по учреждениям 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% категорийности</c:v>
                </c:pt>
              </c:strCache>
            </c:strRef>
          </c:tx>
          <c:spPr>
            <a:solidFill>
              <a:schemeClr val="accent3">
                <a:lumMod val="50000"/>
              </a:schemeClr>
            </a:solidFill>
            <a:ln w="28575">
              <a:solidFill>
                <a:srgbClr val="003300"/>
              </a:solidFill>
            </a:ln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ШКОЛЫ</c:v>
                </c:pt>
                <c:pt idx="1">
                  <c:v>ДОПОЛНИТЕЛЬНОЕ ОБР.</c:v>
                </c:pt>
                <c:pt idx="2">
                  <c:v>ДЕТСКИЕ САДЫ</c:v>
                </c:pt>
                <c:pt idx="3">
                  <c:v>СТОТ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81</c:v>
                </c:pt>
                <c:pt idx="1">
                  <c:v>66.669999999999987</c:v>
                </c:pt>
                <c:pt idx="2">
                  <c:v>52</c:v>
                </c:pt>
                <c:pt idx="3">
                  <c:v>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56C-4CD7-A6B4-1119A1F4B328}"/>
            </c:ext>
          </c:extLst>
        </c:ser>
        <c:axId val="130963328"/>
        <c:axId val="130964864"/>
      </c:barChart>
      <c:catAx>
        <c:axId val="130963328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 b="1">
                <a:solidFill>
                  <a:sysClr val="windowText" lastClr="000000"/>
                </a:solidFill>
              </a:defRPr>
            </a:pPr>
            <a:endParaRPr lang="ru-RU"/>
          </a:p>
        </c:txPr>
        <c:crossAx val="130964864"/>
        <c:crosses val="autoZero"/>
        <c:auto val="1"/>
        <c:lblAlgn val="ctr"/>
        <c:lblOffset val="100"/>
      </c:catAx>
      <c:valAx>
        <c:axId val="130964864"/>
        <c:scaling>
          <c:orientation val="minMax"/>
        </c:scaling>
        <c:axPos val="l"/>
        <c:majorGridlines/>
        <c:numFmt formatCode="General" sourceLinked="1"/>
        <c:tickLblPos val="nextTo"/>
        <c:crossAx val="130963328"/>
        <c:crosses val="autoZero"/>
        <c:crossBetween val="between"/>
      </c:valAx>
      <c:spPr>
        <a:solidFill>
          <a:schemeClr val="accent3">
            <a:lumMod val="40000"/>
            <a:lumOff val="60000"/>
          </a:schemeClr>
        </a:solidFill>
      </c:spPr>
    </c:plotArea>
    <c:plotVisOnly val="1"/>
    <c:dispBlanksAs val="gap"/>
  </c:chart>
  <c:spPr>
    <a:gradFill rotWithShape="1">
      <a:gsLst>
        <a:gs pos="0">
          <a:schemeClr val="accent3">
            <a:tint val="50000"/>
            <a:satMod val="300000"/>
          </a:schemeClr>
        </a:gs>
        <a:gs pos="35000">
          <a:schemeClr val="accent3">
            <a:tint val="37000"/>
            <a:satMod val="300000"/>
          </a:schemeClr>
        </a:gs>
        <a:gs pos="100000">
          <a:schemeClr val="accent3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3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>
                <a:solidFill>
                  <a:srgbClr val="0000CC"/>
                </a:solidFill>
              </a:defRPr>
            </a:pPr>
            <a:r>
              <a:rPr lang="ru-RU">
                <a:solidFill>
                  <a:srgbClr val="0000CC"/>
                </a:solidFill>
              </a:rPr>
              <a:t>Общая категорийность по школам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категорийность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Лист1!$A$2:$A$14</c:f>
              <c:strCache>
                <c:ptCount val="13"/>
                <c:pt idx="0">
                  <c:v>Антоновская </c:v>
                </c:pt>
                <c:pt idx="1">
                  <c:v>Бураковская </c:v>
                </c:pt>
                <c:pt idx="2">
                  <c:v>Кимовская</c:v>
                </c:pt>
                <c:pt idx="3">
                  <c:v>Санаторная </c:v>
                </c:pt>
                <c:pt idx="4">
                  <c:v>Трёхозёрская</c:v>
                </c:pt>
                <c:pt idx="5">
                  <c:v>БСОШ №2</c:v>
                </c:pt>
                <c:pt idx="6">
                  <c:v>Кадетская </c:v>
                </c:pt>
                <c:pt idx="7">
                  <c:v>Никольская</c:v>
                </c:pt>
                <c:pt idx="8">
                  <c:v>Коррекционная</c:v>
                </c:pt>
                <c:pt idx="9">
                  <c:v>БСОШ №1</c:v>
                </c:pt>
                <c:pt idx="10">
                  <c:v>Полянская</c:v>
                </c:pt>
                <c:pt idx="11">
                  <c:v>Иске Рязяпская</c:v>
                </c:pt>
                <c:pt idx="12">
                  <c:v>Кузнечихинская 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67</c:v>
                </c:pt>
                <c:pt idx="1">
                  <c:v>70</c:v>
                </c:pt>
                <c:pt idx="2">
                  <c:v>81</c:v>
                </c:pt>
                <c:pt idx="3">
                  <c:v>76</c:v>
                </c:pt>
                <c:pt idx="4">
                  <c:v>88</c:v>
                </c:pt>
                <c:pt idx="5">
                  <c:v>85</c:v>
                </c:pt>
                <c:pt idx="6">
                  <c:v>91</c:v>
                </c:pt>
                <c:pt idx="7">
                  <c:v>90</c:v>
                </c:pt>
                <c:pt idx="8">
                  <c:v>87</c:v>
                </c:pt>
                <c:pt idx="9">
                  <c:v>80</c:v>
                </c:pt>
                <c:pt idx="10">
                  <c:v>88</c:v>
                </c:pt>
                <c:pt idx="11">
                  <c:v>82</c:v>
                </c:pt>
                <c:pt idx="12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9E0-4164-8B2B-9B1B70268F7A}"/>
            </c:ext>
          </c:extLst>
        </c:ser>
        <c:axId val="63311232"/>
        <c:axId val="130847872"/>
      </c:barChart>
      <c:catAx>
        <c:axId val="63311232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130847872"/>
        <c:crosses val="autoZero"/>
        <c:auto val="1"/>
        <c:lblAlgn val="ctr"/>
        <c:lblOffset val="100"/>
      </c:catAx>
      <c:valAx>
        <c:axId val="130847872"/>
        <c:scaling>
          <c:orientation val="minMax"/>
        </c:scaling>
        <c:axPos val="l"/>
        <c:majorGridlines/>
        <c:numFmt formatCode="General" sourceLinked="1"/>
        <c:tickLblPos val="nextTo"/>
        <c:crossAx val="63311232"/>
        <c:crosses val="autoZero"/>
        <c:crossBetween val="between"/>
      </c:valAx>
      <c:spPr>
        <a:solidFill>
          <a:schemeClr val="accent3">
            <a:lumMod val="40000"/>
            <a:lumOff val="60000"/>
          </a:schemeClr>
        </a:solidFill>
      </c:spPr>
    </c:plotArea>
    <c:plotVisOnly val="1"/>
    <c:dispBlanksAs val="gap"/>
  </c:chart>
  <c:spPr>
    <a:solidFill>
      <a:schemeClr val="accent3">
        <a:lumMod val="20000"/>
        <a:lumOff val="80000"/>
      </a:schemeClr>
    </a:solidFill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0.56884</cdr:x>
      <cdr:y>0.36322</cdr:y>
    </cdr:from>
    <cdr:to>
      <cdr:x>0.69491</cdr:x>
      <cdr:y>0.60396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937905" y="666555"/>
          <a:ext cx="429490" cy="44180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800" b="1"/>
            <a:t>РТ</a:t>
          </a:r>
        </a:p>
      </cdr:txBody>
    </cdr:sp>
  </cdr:relSizeAnchor>
  <cdr:relSizeAnchor xmlns:cdr="http://schemas.openxmlformats.org/drawingml/2006/chartDrawing">
    <cdr:from>
      <cdr:x>0.77624</cdr:x>
      <cdr:y>0.83045</cdr:y>
    </cdr:from>
    <cdr:to>
      <cdr:x>0.93891</cdr:x>
      <cdr:y>0.93614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644486" y="1524000"/>
          <a:ext cx="554182" cy="193963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3">
            <a:lumMod val="40000"/>
            <a:lumOff val="60000"/>
          </a:schemeClr>
        </a:solidFill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Zam</cp:lastModifiedBy>
  <cp:revision>14</cp:revision>
  <dcterms:created xsi:type="dcterms:W3CDTF">2018-08-15T07:32:00Z</dcterms:created>
  <dcterms:modified xsi:type="dcterms:W3CDTF">2020-08-03T07:31:00Z</dcterms:modified>
</cp:coreProperties>
</file>